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2C7E47DA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845852" w14:paraId="0C510281" w14:textId="1B662C81">
            <w:pPr>
              <w:rPr>
                <w:sz w:val="24"/>
              </w:rPr>
            </w:pPr>
            <w:r>
              <w:rPr>
                <w:sz w:val="24"/>
              </w:rPr>
              <w:t xml:space="preserve">Art &amp; Design Textiles </w:t>
            </w:r>
          </w:p>
        </w:tc>
      </w:tr>
      <w:tr w:rsidRPr="00975AA0" w:rsidR="009F489F" w:rsidTr="2C7E47DA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845852" w14:paraId="374ED722" w14:textId="65445CB1">
            <w:pPr>
              <w:rPr>
                <w:sz w:val="24"/>
              </w:rPr>
            </w:pPr>
            <w:r>
              <w:t>J174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845852" w14:paraId="221BE586" w14:textId="15AB954C">
            <w:pPr>
              <w:rPr>
                <w:sz w:val="24"/>
              </w:rPr>
            </w:pPr>
            <w:r>
              <w:rPr>
                <w:sz w:val="24"/>
              </w:rPr>
              <w:t>OCR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845852" w14:paraId="20A9CDB5" w14:textId="0DFC9E49">
            <w:pPr>
              <w:rPr>
                <w:sz w:val="24"/>
              </w:rPr>
            </w:pPr>
            <w:r>
              <w:rPr>
                <w:sz w:val="24"/>
              </w:rPr>
              <w:t>GCSE</w:t>
            </w:r>
          </w:p>
        </w:tc>
      </w:tr>
      <w:tr w:rsidRPr="00975AA0" w:rsidR="009F489F" w:rsidTr="2C7E47DA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845852" w:rsidR="009F489F" w:rsidP="00B832BB" w:rsidRDefault="00845852" w14:paraId="45187F2D" w14:textId="61BA0EB4">
            <w:pPr>
              <w:rPr>
                <w:sz w:val="24"/>
              </w:rPr>
            </w:pPr>
            <w:r w:rsidRPr="00845852">
              <w:rPr>
                <w:sz w:val="24"/>
              </w:rPr>
              <w:t>A01</w:t>
            </w:r>
          </w:p>
          <w:p w:rsidRPr="000F3268" w:rsidR="00845852" w:rsidP="00B832BB" w:rsidRDefault="00845852" w14:paraId="12F99C82" w14:textId="749B821C">
            <w:pPr>
              <w:rPr>
                <w:b/>
                <w:sz w:val="24"/>
              </w:rPr>
            </w:pPr>
            <w:r w:rsidRPr="00845852">
              <w:rPr>
                <w:sz w:val="24"/>
              </w:rPr>
              <w:t>A03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9F489F" w:rsidP="00B832BB" w:rsidRDefault="00845852" w14:paraId="699E2CEB" w14:textId="77777777">
            <w:pPr>
              <w:rPr>
                <w:sz w:val="24"/>
              </w:rPr>
            </w:pPr>
            <w:r>
              <w:rPr>
                <w:sz w:val="24"/>
              </w:rPr>
              <w:t>A02</w:t>
            </w:r>
          </w:p>
          <w:p w:rsidRPr="00975AA0" w:rsidR="00845852" w:rsidP="00B832BB" w:rsidRDefault="00845852" w14:paraId="196D3C69" w14:textId="7E460347">
            <w:pPr>
              <w:rPr>
                <w:sz w:val="24"/>
              </w:rPr>
            </w:pPr>
            <w:r>
              <w:rPr>
                <w:sz w:val="24"/>
              </w:rPr>
              <w:t>A04</w:t>
            </w:r>
          </w:p>
        </w:tc>
      </w:tr>
      <w:tr w:rsidR="753AE558" w:rsidTr="2C7E47DA" w14:paraId="46222B7F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300DD0" w:rsidP="753AE558" w:rsidRDefault="00300DD0" w14:paraId="5FBEA8DD" w14:textId="4A19CE8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53AE558" w:rsidR="00300DD0">
              <w:rPr>
                <w:b w:val="1"/>
                <w:bCs w:val="1"/>
                <w:sz w:val="24"/>
                <w:szCs w:val="24"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="00300DD0" w:rsidP="753AE558" w:rsidRDefault="00300DD0" w14:paraId="7361DC73" w14:textId="052E3CED">
            <w:pPr>
              <w:pStyle w:val="Normal"/>
              <w:rPr>
                <w:sz w:val="24"/>
                <w:szCs w:val="24"/>
              </w:rPr>
            </w:pPr>
            <w:r w:rsidRPr="753AE558" w:rsidR="00300DD0">
              <w:rPr>
                <w:sz w:val="24"/>
                <w:szCs w:val="24"/>
              </w:rPr>
              <w:t xml:space="preserve">Pupils have been introduced to all of the content that is expected of them to complete, however have not had access to the specialist </w:t>
            </w:r>
            <w:r w:rsidRPr="753AE558" w:rsidR="7ABC7237">
              <w:rPr>
                <w:sz w:val="24"/>
                <w:szCs w:val="24"/>
              </w:rPr>
              <w:t xml:space="preserve">room to be able to complete the required tasks to show evidence in their portfolios for about 50% of the course. </w:t>
            </w:r>
          </w:p>
        </w:tc>
      </w:tr>
      <w:tr w:rsidR="00A413ED" w:rsidTr="2C7E47DA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2C7E47DA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2C7E47DA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D10BBE" w:rsidP="00B832BB" w:rsidRDefault="00D10BBE" w14:paraId="4E04FDC5" w14:textId="7777777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="00D10BBE" w:rsidP="2C7E47DA" w:rsidRDefault="00845852" w14:paraId="4F5FBB0A" w14:textId="77777777" w14:noSpellErr="1">
            <w:pPr>
              <w:shd w:val="clear" w:color="auto" w:fill="FFFFFF" w:themeFill="background1"/>
              <w:rPr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C7E47DA" w:rsidR="00845852">
              <w:rPr>
                <w:b w:val="1"/>
                <w:bCs w:val="1"/>
                <w:i w:val="0"/>
                <w:iCs w:val="0"/>
                <w:sz w:val="22"/>
                <w:szCs w:val="22"/>
              </w:rPr>
              <w:t xml:space="preserve">Portfolio &amp; Practical piece 100% </w:t>
            </w:r>
          </w:p>
          <w:p w:rsidR="00845852" w:rsidP="753AE558" w:rsidRDefault="00845852" w14:paraId="2F5AE372" w14:textId="77777777" w14:noSpellErr="1">
            <w:pPr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  <w:r w:rsidRPr="753AE558" w:rsidR="00845852">
              <w:rPr>
                <w:i w:val="0"/>
                <w:iCs w:val="0"/>
                <w:sz w:val="22"/>
                <w:szCs w:val="22"/>
              </w:rPr>
              <w:t>Exam has been cancelled and only the portfolio component is to be graded</w:t>
            </w:r>
          </w:p>
          <w:p w:rsidRPr="00D10BBE" w:rsidR="00845852" w:rsidP="2C7E47DA" w:rsidRDefault="00845852" w14:paraId="1E0975CE" w14:textId="5E1DCA4B">
            <w:pPr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  <w:r w:rsidRPr="2C7E47DA" w:rsidR="00845852">
              <w:rPr>
                <w:i w:val="0"/>
                <w:iCs w:val="0"/>
                <w:sz w:val="22"/>
                <w:szCs w:val="22"/>
              </w:rPr>
              <w:t xml:space="preserve">Pupils </w:t>
            </w:r>
            <w:r w:rsidRPr="2C7E47DA" w:rsidR="4A485D3E">
              <w:rPr>
                <w:i w:val="0"/>
                <w:iCs w:val="0"/>
                <w:sz w:val="22"/>
                <w:szCs w:val="22"/>
              </w:rPr>
              <w:t xml:space="preserve">now </w:t>
            </w:r>
            <w:r w:rsidRPr="2C7E47DA" w:rsidR="05C113CB">
              <w:rPr>
                <w:i w:val="0"/>
                <w:iCs w:val="0"/>
                <w:sz w:val="22"/>
                <w:szCs w:val="22"/>
              </w:rPr>
              <w:t xml:space="preserve">have </w:t>
            </w:r>
            <w:r w:rsidRPr="2C7E47DA" w:rsidR="00845852">
              <w:rPr>
                <w:i w:val="0"/>
                <w:iCs w:val="0"/>
                <w:sz w:val="22"/>
                <w:szCs w:val="22"/>
              </w:rPr>
              <w:t xml:space="preserve">access to the Specialist room and Laptops </w:t>
            </w:r>
            <w:r w:rsidRPr="2C7E47DA" w:rsidR="1B18A158">
              <w:rPr>
                <w:i w:val="0"/>
                <w:iCs w:val="0"/>
                <w:sz w:val="22"/>
                <w:szCs w:val="22"/>
              </w:rPr>
              <w:t xml:space="preserve">and should make use of this whenever possible. </w:t>
            </w:r>
          </w:p>
          <w:p w:rsidRPr="00D10BBE" w:rsidR="00845852" w:rsidP="2C7E47DA" w:rsidRDefault="00845852" w14:paraId="05DC7508" w14:textId="49408C75">
            <w:pPr>
              <w:pStyle w:val="Normal"/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</w:p>
        </w:tc>
      </w:tr>
      <w:tr w:rsidRPr="00975AA0" w:rsidR="00A413ED" w:rsidTr="2C7E47DA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2C7E47DA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C2B48" w:rsidR="00A413ED" w:rsidP="753AE558" w:rsidRDefault="00A413ED" w14:paraId="4159B196" w14:textId="77777777" w14:noSpellErr="1">
            <w:pPr>
              <w:spacing w:after="30" w:line="360" w:lineRule="atLeast"/>
              <w:textAlignment w:val="baseline"/>
              <w:rPr>
                <w:i w:val="0"/>
                <w:iCs w:val="0"/>
                <w:sz w:val="22"/>
                <w:szCs w:val="22"/>
              </w:rPr>
            </w:pPr>
          </w:p>
          <w:p w:rsidRPr="00845852" w:rsidR="0046317D" w:rsidP="753AE558" w:rsidRDefault="00845852" w14:paraId="17BD7DD3" w14:textId="0ED23CBF" w14:noSpellErr="1">
            <w:pPr>
              <w:spacing w:after="30" w:line="360" w:lineRule="atLeast"/>
              <w:textAlignment w:val="baseline"/>
              <w:rPr>
                <w:i w:val="0"/>
                <w:iCs w:val="0"/>
                <w:sz w:val="22"/>
                <w:szCs w:val="22"/>
              </w:rPr>
            </w:pPr>
            <w:r w:rsidRPr="753AE558" w:rsidR="00845852">
              <w:rPr>
                <w:i w:val="0"/>
                <w:iCs w:val="0"/>
                <w:sz w:val="22"/>
                <w:szCs w:val="22"/>
              </w:rPr>
              <w:t xml:space="preserve">N/A – The whole portfolio and any practical pieces will be assessed </w:t>
            </w:r>
          </w:p>
        </w:tc>
      </w:tr>
      <w:tr w:rsidRPr="00975AA0" w:rsidR="00A413ED" w:rsidTr="2C7E47DA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2C7E47DA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413ED" w:rsidR="00A413ED" w:rsidP="00B832BB" w:rsidRDefault="00A413ED" w14:paraId="513B07AB" w14:textId="77777777">
            <w:pPr>
              <w:rPr>
                <w:sz w:val="24"/>
              </w:rPr>
            </w:pPr>
          </w:p>
          <w:p w:rsidR="00A413ED" w:rsidP="00B832BB" w:rsidRDefault="00A413ED" w14:paraId="5F2B1341" w14:textId="04217FE9">
            <w:pPr>
              <w:rPr>
                <w:i/>
                <w:iCs/>
                <w:sz w:val="20"/>
                <w:szCs w:val="20"/>
              </w:rPr>
            </w:pPr>
            <w:bookmarkStart w:name="_GoBack" w:id="0"/>
            <w:bookmarkEnd w:id="0"/>
          </w:p>
          <w:p w:rsidRPr="00845852" w:rsidR="00CB658E" w:rsidP="753AE558" w:rsidRDefault="00845852" w14:paraId="60A20F99" w14:textId="76EE18A1">
            <w:pPr>
              <w:pStyle w:val="ListParagraph"/>
              <w:ind w:left="0"/>
              <w:rPr>
                <w:i w:val="0"/>
                <w:iCs w:val="0"/>
                <w:sz w:val="22"/>
                <w:szCs w:val="22"/>
              </w:rPr>
            </w:pPr>
            <w:r w:rsidRPr="753AE558" w:rsidR="225A2FC0">
              <w:rPr>
                <w:i w:val="0"/>
                <w:iCs w:val="0"/>
                <w:sz w:val="22"/>
                <w:szCs w:val="22"/>
              </w:rPr>
              <w:t>N/A</w:t>
            </w: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A1" w:rsidP="00A413ED" w:rsidRDefault="00F445A1" w14:paraId="6C080232" w14:textId="77777777">
      <w:pPr>
        <w:spacing w:after="0" w:line="240" w:lineRule="auto"/>
      </w:pPr>
      <w:r>
        <w:separator/>
      </w:r>
    </w:p>
  </w:endnote>
  <w:endnote w:type="continuationSeparator" w:id="0">
    <w:p w:rsidR="00F445A1" w:rsidP="00A413ED" w:rsidRDefault="00F445A1" w14:paraId="32D6C46C" w14:textId="77777777">
      <w:pPr>
        <w:spacing w:after="0" w:line="240" w:lineRule="auto"/>
      </w:pPr>
      <w:r>
        <w:continuationSeparator/>
      </w:r>
    </w:p>
  </w:endnote>
  <w:endnote w:type="continuationNotice" w:id="1">
    <w:p w:rsidR="00F445A1" w:rsidRDefault="00F445A1" w14:paraId="75C21C0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A1" w:rsidP="00A413ED" w:rsidRDefault="00F445A1" w14:paraId="72D3E51B" w14:textId="77777777">
      <w:pPr>
        <w:spacing w:after="0" w:line="240" w:lineRule="auto"/>
      </w:pPr>
      <w:r>
        <w:separator/>
      </w:r>
    </w:p>
  </w:footnote>
  <w:footnote w:type="continuationSeparator" w:id="0">
    <w:p w:rsidR="00F445A1" w:rsidP="00A413ED" w:rsidRDefault="00F445A1" w14:paraId="6A7F38F5" w14:textId="77777777">
      <w:pPr>
        <w:spacing w:after="0" w:line="240" w:lineRule="auto"/>
      </w:pPr>
      <w:r>
        <w:continuationSeparator/>
      </w:r>
    </w:p>
  </w:footnote>
  <w:footnote w:type="continuationNotice" w:id="1">
    <w:p w:rsidR="00F445A1" w:rsidRDefault="00F445A1" w14:paraId="2C223D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C7E47DA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2C7E47DA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2C7E47DA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27B2F"/>
    <w:rsid w:val="00184837"/>
    <w:rsid w:val="001A0567"/>
    <w:rsid w:val="001A0A5C"/>
    <w:rsid w:val="00234CBC"/>
    <w:rsid w:val="00240B74"/>
    <w:rsid w:val="00243CD1"/>
    <w:rsid w:val="00270285"/>
    <w:rsid w:val="00283E94"/>
    <w:rsid w:val="002E1F56"/>
    <w:rsid w:val="002F0947"/>
    <w:rsid w:val="00300DD0"/>
    <w:rsid w:val="0030768A"/>
    <w:rsid w:val="00392054"/>
    <w:rsid w:val="00402721"/>
    <w:rsid w:val="004263D2"/>
    <w:rsid w:val="0046317D"/>
    <w:rsid w:val="004E70E7"/>
    <w:rsid w:val="00520B05"/>
    <w:rsid w:val="00562B12"/>
    <w:rsid w:val="005E4EDA"/>
    <w:rsid w:val="0061567F"/>
    <w:rsid w:val="006473E9"/>
    <w:rsid w:val="006D27F6"/>
    <w:rsid w:val="00795B53"/>
    <w:rsid w:val="007F4D6F"/>
    <w:rsid w:val="00834AF2"/>
    <w:rsid w:val="00834EFE"/>
    <w:rsid w:val="00845852"/>
    <w:rsid w:val="008D245B"/>
    <w:rsid w:val="008E12EB"/>
    <w:rsid w:val="00975AA0"/>
    <w:rsid w:val="00980259"/>
    <w:rsid w:val="009B0544"/>
    <w:rsid w:val="009F489F"/>
    <w:rsid w:val="00A25068"/>
    <w:rsid w:val="00A413ED"/>
    <w:rsid w:val="00A70CEC"/>
    <w:rsid w:val="00AB5398"/>
    <w:rsid w:val="00AC2B48"/>
    <w:rsid w:val="00AD17AF"/>
    <w:rsid w:val="00B12CAE"/>
    <w:rsid w:val="00B326C4"/>
    <w:rsid w:val="00B764AC"/>
    <w:rsid w:val="00B832BB"/>
    <w:rsid w:val="00BB4A33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E7369"/>
    <w:rsid w:val="00E10716"/>
    <w:rsid w:val="00E41B15"/>
    <w:rsid w:val="00E635EB"/>
    <w:rsid w:val="00F034FB"/>
    <w:rsid w:val="00F445A1"/>
    <w:rsid w:val="00F66A00"/>
    <w:rsid w:val="00F81A28"/>
    <w:rsid w:val="00F83766"/>
    <w:rsid w:val="05C113CB"/>
    <w:rsid w:val="0FB4339E"/>
    <w:rsid w:val="1B18A158"/>
    <w:rsid w:val="225A2FC0"/>
    <w:rsid w:val="2AFBCF38"/>
    <w:rsid w:val="2C7E47DA"/>
    <w:rsid w:val="2EA9C795"/>
    <w:rsid w:val="4A485D3E"/>
    <w:rsid w:val="5365B5D9"/>
    <w:rsid w:val="58AF7E97"/>
    <w:rsid w:val="6276DBD9"/>
    <w:rsid w:val="70A61230"/>
    <w:rsid w:val="753AE558"/>
    <w:rsid w:val="772EBAF3"/>
    <w:rsid w:val="7ABC7237"/>
    <w:rsid w:val="7D8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1815D-2F43-4B92-B338-0C080DE72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Mary Greco-Addo MGA</lastModifiedBy>
  <revision>4</revision>
  <dcterms:created xsi:type="dcterms:W3CDTF">2021-03-04T10:11:00.0000000Z</dcterms:created>
  <dcterms:modified xsi:type="dcterms:W3CDTF">2021-03-25T12:37:52.2832322Z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