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Pr="00975AA0" w:rsidR="00A413ED" w:rsidTr="6550DBE7" w14:paraId="1AD9D79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75AA0" w:rsidR="00A413ED" w:rsidP="00B832BB" w:rsidRDefault="00A413ED" w14:paraId="4040AD9C" w14:textId="292EE5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</w:tcPr>
          <w:p w:rsidRPr="00975AA0" w:rsidR="00A413ED" w:rsidP="5307ADDA" w:rsidRDefault="342E1DF7" w14:paraId="0C510281" w14:textId="5E42B525">
            <w:pPr>
              <w:rPr>
                <w:sz w:val="24"/>
                <w:szCs w:val="24"/>
              </w:rPr>
            </w:pPr>
            <w:r w:rsidRPr="6550DBE7" w:rsidR="342E1DF7">
              <w:rPr>
                <w:sz w:val="24"/>
                <w:szCs w:val="24"/>
              </w:rPr>
              <w:t>Econom</w:t>
            </w:r>
            <w:r w:rsidRPr="6550DBE7" w:rsidR="7DDF0C60">
              <w:rPr>
                <w:sz w:val="24"/>
                <w:szCs w:val="24"/>
              </w:rPr>
              <w:t xml:space="preserve">ics A level </w:t>
            </w:r>
          </w:p>
        </w:tc>
      </w:tr>
      <w:tr w:rsidRPr="00975AA0" w:rsidR="009F489F" w:rsidTr="6550DBE7" w14:paraId="2D4553B9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75AA0" w:rsidR="00A413ED" w:rsidP="00B832BB" w:rsidRDefault="00A413ED" w14:paraId="3231B08D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6550DBE7" w:rsidRDefault="00A413ED" w14:paraId="374ED722" w14:textId="0DB9EE88">
            <w:pPr>
              <w:rPr>
                <w:sz w:val="24"/>
                <w:szCs w:val="24"/>
              </w:rPr>
            </w:pPr>
            <w:r w:rsidRPr="6550DBE7" w:rsidR="79DB6D58">
              <w:rPr>
                <w:sz w:val="24"/>
                <w:szCs w:val="24"/>
              </w:rPr>
              <w:t>7136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F3268" w:rsidR="00A413ED" w:rsidP="00B832BB" w:rsidRDefault="00A413ED" w14:paraId="669FF8E2" w14:textId="77777777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6550DBE7" w:rsidRDefault="00A45E92" w14:paraId="221BE586" w14:textId="36F4D4A4">
            <w:pPr>
              <w:rPr>
                <w:sz w:val="24"/>
                <w:szCs w:val="24"/>
              </w:rPr>
            </w:pPr>
            <w:r w:rsidRPr="6550DBE7" w:rsidR="620E46AC">
              <w:rPr>
                <w:sz w:val="24"/>
                <w:szCs w:val="24"/>
              </w:rPr>
              <w:t>AQA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A413ED" w:rsidP="00B832BB" w:rsidRDefault="00A413ED" w14:paraId="2340FCFB" w14:textId="77777777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:rsidRPr="00A413ED" w:rsidR="00A413ED" w:rsidP="00B832BB" w:rsidRDefault="00A413ED" w14:paraId="0F35DE9C" w14:textId="602FA36E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etc.)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043C8B" w14:paraId="20A9CDB5" w14:textId="4D6214EA">
            <w:pPr>
              <w:rPr>
                <w:sz w:val="24"/>
              </w:rPr>
            </w:pPr>
            <w:r>
              <w:rPr>
                <w:sz w:val="24"/>
              </w:rPr>
              <w:t>A Level</w:t>
            </w:r>
          </w:p>
        </w:tc>
      </w:tr>
      <w:tr w:rsidRPr="00975AA0" w:rsidR="009F489F" w:rsidTr="6550DBE7" w14:paraId="0EB34C8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9F489F" w:rsidP="00B832BB" w:rsidRDefault="009F489F" w14:paraId="1F5459DE" w14:textId="218A66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A45E92" w:rsidR="009E6D48" w:rsidP="5307ADDA" w:rsidRDefault="30A23392" w14:paraId="08153571" w14:textId="37B9230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307ADDA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Microeconomics:</w:t>
            </w:r>
            <w:r w:rsidRPr="5307ADDA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Pr="00A45E92" w:rsidR="009E6D48" w:rsidP="5307ADDA" w:rsidRDefault="30A23392" w14:paraId="6ABC4D20" w14:textId="2884760A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307ADDA">
              <w:rPr>
                <w:rFonts w:ascii="Calibri" w:hAnsi="Calibri" w:eastAsia="Calibri" w:cs="Calibri"/>
                <w:sz w:val="24"/>
                <w:szCs w:val="24"/>
              </w:rPr>
              <w:t xml:space="preserve">• the economic problem and economic methodology </w:t>
            </w:r>
          </w:p>
          <w:p w:rsidRPr="00A45E92" w:rsidR="009E6D48" w:rsidP="5307ADDA" w:rsidRDefault="30A23392" w14:paraId="5AD8E1C4" w14:textId="5F767B86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307ADDA">
              <w:rPr>
                <w:rFonts w:ascii="Calibri" w:hAnsi="Calibri" w:eastAsia="Calibri" w:cs="Calibri"/>
                <w:sz w:val="24"/>
                <w:szCs w:val="24"/>
              </w:rPr>
              <w:t xml:space="preserve">• individual economic decision making </w:t>
            </w:r>
          </w:p>
          <w:p w:rsidRPr="00A45E92" w:rsidR="009E6D48" w:rsidP="5307ADDA" w:rsidRDefault="30A23392" w14:paraId="6D46AAB2" w14:textId="4641218A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307ADDA">
              <w:rPr>
                <w:rFonts w:ascii="Calibri" w:hAnsi="Calibri" w:eastAsia="Calibri" w:cs="Calibri"/>
                <w:sz w:val="24"/>
                <w:szCs w:val="24"/>
              </w:rPr>
              <w:t xml:space="preserve">• price determination in a competitive market </w:t>
            </w:r>
          </w:p>
          <w:p w:rsidRPr="00A45E92" w:rsidR="009E6D48" w:rsidP="5307ADDA" w:rsidRDefault="30A23392" w14:paraId="733531E9" w14:textId="23C1312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307ADDA">
              <w:rPr>
                <w:rFonts w:ascii="Calibri" w:hAnsi="Calibri" w:eastAsia="Calibri" w:cs="Calibri"/>
                <w:sz w:val="24"/>
                <w:szCs w:val="24"/>
              </w:rPr>
              <w:t xml:space="preserve">• production, costs and revenue </w:t>
            </w:r>
          </w:p>
          <w:p w:rsidRPr="00A45E92" w:rsidR="009E6D48" w:rsidP="5307ADDA" w:rsidRDefault="30A23392" w14:paraId="33C55446" w14:textId="4F3C47D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307ADDA">
              <w:rPr>
                <w:rFonts w:ascii="Calibri" w:hAnsi="Calibri" w:eastAsia="Calibri" w:cs="Calibri"/>
                <w:sz w:val="24"/>
                <w:szCs w:val="24"/>
              </w:rPr>
              <w:t xml:space="preserve">• perfect competition, imperfectly competitive markets and monopoly </w:t>
            </w:r>
          </w:p>
          <w:p w:rsidRPr="00A45E92" w:rsidR="009E6D48" w:rsidP="5307ADDA" w:rsidRDefault="30A23392" w14:paraId="42A2DE39" w14:textId="17D1A50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307ADDA">
              <w:rPr>
                <w:rFonts w:ascii="Calibri" w:hAnsi="Calibri" w:eastAsia="Calibri" w:cs="Calibri"/>
                <w:sz w:val="24"/>
                <w:szCs w:val="24"/>
              </w:rPr>
              <w:t xml:space="preserve">• the labour market </w:t>
            </w:r>
          </w:p>
          <w:p w:rsidRPr="00A45E92" w:rsidR="009E6D48" w:rsidP="5307ADDA" w:rsidRDefault="30A23392" w14:paraId="12B3ADD8" w14:textId="52458BA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307ADDA">
              <w:rPr>
                <w:rFonts w:ascii="Calibri" w:hAnsi="Calibri" w:eastAsia="Calibri" w:cs="Calibri"/>
                <w:sz w:val="24"/>
                <w:szCs w:val="24"/>
              </w:rPr>
              <w:t xml:space="preserve">• the distribution of income and wealth: poverty and inequality </w:t>
            </w:r>
          </w:p>
          <w:p w:rsidRPr="00A45E92" w:rsidR="009E6D48" w:rsidP="6BA91E74" w:rsidRDefault="30A23392" w14:paraId="12F99C82" w14:textId="55D6389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307ADDA">
              <w:rPr>
                <w:rFonts w:ascii="Calibri" w:hAnsi="Calibri" w:eastAsia="Calibri" w:cs="Calibri"/>
                <w:sz w:val="24"/>
                <w:szCs w:val="24"/>
              </w:rPr>
              <w:t>• the market mechanism, market failure and government intervention in markets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413ED" w:rsidR="009F489F" w:rsidP="00B832BB" w:rsidRDefault="009F489F" w14:paraId="4FA8CA7F" w14:textId="514E35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975AA0" w:rsidR="009E6D48" w:rsidP="5307ADDA" w:rsidRDefault="39532993" w14:paraId="33388389" w14:textId="644A91DB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307ADDA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Macroeconomics:</w:t>
            </w:r>
            <w:r w:rsidRPr="5307ADDA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Pr="00975AA0" w:rsidR="009E6D48" w:rsidP="5307ADDA" w:rsidRDefault="39532993" w14:paraId="33778883" w14:textId="70103C90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307ADDA">
              <w:rPr>
                <w:rFonts w:ascii="Calibri" w:hAnsi="Calibri" w:eastAsia="Calibri" w:cs="Calibri"/>
                <w:sz w:val="24"/>
                <w:szCs w:val="24"/>
              </w:rPr>
              <w:t xml:space="preserve">• the measurement of macroeconomic performance </w:t>
            </w:r>
          </w:p>
          <w:p w:rsidRPr="00975AA0" w:rsidR="009E6D48" w:rsidP="5307ADDA" w:rsidRDefault="39532993" w14:paraId="2C26B4E1" w14:textId="08053F58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307ADDA">
              <w:rPr>
                <w:rFonts w:ascii="Calibri" w:hAnsi="Calibri" w:eastAsia="Calibri" w:cs="Calibri"/>
                <w:sz w:val="24"/>
                <w:szCs w:val="24"/>
              </w:rPr>
              <w:t xml:space="preserve">• how the macroeconomy works • economic performance </w:t>
            </w:r>
          </w:p>
          <w:p w:rsidRPr="00975AA0" w:rsidR="009E6D48" w:rsidP="5307ADDA" w:rsidRDefault="39532993" w14:paraId="64D85CC0" w14:textId="1E8C941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307ADDA">
              <w:rPr>
                <w:rFonts w:ascii="Calibri" w:hAnsi="Calibri" w:eastAsia="Calibri" w:cs="Calibri"/>
                <w:sz w:val="24"/>
                <w:szCs w:val="24"/>
              </w:rPr>
              <w:t xml:space="preserve">• financial markets and monetary policy </w:t>
            </w:r>
          </w:p>
          <w:p w:rsidRPr="00975AA0" w:rsidR="009E6D48" w:rsidP="5307ADDA" w:rsidRDefault="39532993" w14:paraId="54AD8921" w14:textId="53A704AB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307ADDA">
              <w:rPr>
                <w:rFonts w:ascii="Calibri" w:hAnsi="Calibri" w:eastAsia="Calibri" w:cs="Calibri"/>
                <w:sz w:val="24"/>
                <w:szCs w:val="24"/>
              </w:rPr>
              <w:t xml:space="preserve">• fiscal policy and supply-side policies </w:t>
            </w:r>
          </w:p>
          <w:p w:rsidRPr="00975AA0" w:rsidR="009E6D48" w:rsidP="5307ADDA" w:rsidRDefault="39532993" w14:paraId="196D3C69" w14:textId="52A7F18B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307ADDA">
              <w:rPr>
                <w:rFonts w:ascii="Calibri" w:hAnsi="Calibri" w:eastAsia="Calibri" w:cs="Calibri"/>
                <w:sz w:val="24"/>
                <w:szCs w:val="24"/>
              </w:rPr>
              <w:t>• the international economy.</w:t>
            </w:r>
          </w:p>
        </w:tc>
      </w:tr>
      <w:tr w:rsidR="00A413ED" w:rsidTr="6550DBE7" w14:paraId="3B4768C4" w14:textId="7777777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13ED" w:rsidP="00B832BB" w:rsidRDefault="00A413ED" w14:paraId="3E862508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final grade will be informed through an assessment of evidence from:</w:t>
            </w:r>
          </w:p>
        </w:tc>
      </w:tr>
      <w:tr w:rsidRPr="00975AA0" w:rsidR="00A413ED" w:rsidTr="6550DBE7" w14:paraId="08BE4151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5C52F8E" w14:textId="69963769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Primary source </w:t>
            </w:r>
            <w:r w:rsidRPr="00A413ED">
              <w:rPr>
                <w:b/>
                <w:sz w:val="18"/>
                <w:szCs w:val="18"/>
              </w:rPr>
              <w:t>(details of the exam / portfolio et)</w:t>
            </w:r>
          </w:p>
        </w:tc>
      </w:tr>
      <w:tr w:rsidRPr="00E10716" w:rsidR="00A413ED" w:rsidTr="6550DBE7" w14:paraId="758254A6" w14:textId="77777777">
        <w:trPr>
          <w:trHeight w:val="3288"/>
        </w:trPr>
        <w:tc>
          <w:tcPr>
            <w:tcW w:w="9016" w:type="dxa"/>
            <w:gridSpan w:val="7"/>
            <w:tcMar/>
          </w:tcPr>
          <w:p w:rsidR="00C71434" w:rsidP="00C71434" w:rsidRDefault="00A45E92" w14:paraId="75594E77" w14:textId="6808C61E">
            <w:pPr>
              <w:shd w:val="clear" w:color="auto" w:fill="FFFFFF"/>
              <w:rPr>
                <w:sz w:val="20"/>
                <w:szCs w:val="20"/>
              </w:rPr>
            </w:pPr>
            <w:r w:rsidRPr="6550DBE7" w:rsidR="00A45E92">
              <w:rPr>
                <w:sz w:val="20"/>
                <w:szCs w:val="20"/>
              </w:rPr>
              <w:t xml:space="preserve">Exam </w:t>
            </w:r>
            <w:r w:rsidRPr="6550DBE7" w:rsidR="009D5E62">
              <w:rPr>
                <w:sz w:val="20"/>
                <w:szCs w:val="20"/>
              </w:rPr>
              <w:t>Design</w:t>
            </w:r>
          </w:p>
          <w:p w:rsidR="4693B85F" w:rsidP="6550DBE7" w:rsidRDefault="4693B85F" w14:paraId="54FEE98A" w14:textId="6D3C896A">
            <w:pPr>
              <w:pStyle w:val="Normal"/>
              <w:shd w:val="clear" w:color="auto" w:fill="FFFFFF" w:themeFill="background1"/>
              <w:ind w:left="0"/>
              <w:rPr>
                <w:sz w:val="20"/>
                <w:szCs w:val="20"/>
              </w:rPr>
            </w:pPr>
            <w:r w:rsidRPr="6550DBE7" w:rsidR="4693B85F">
              <w:rPr>
                <w:sz w:val="20"/>
                <w:szCs w:val="20"/>
              </w:rPr>
              <w:t xml:space="preserve">Section A = 30 marks </w:t>
            </w:r>
          </w:p>
          <w:p w:rsidR="4693B85F" w:rsidP="6550DBE7" w:rsidRDefault="4693B85F" w14:paraId="2004E7C4" w14:textId="37C39B0F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6550DBE7" w:rsidR="4693B85F">
              <w:rPr>
                <w:sz w:val="20"/>
                <w:szCs w:val="20"/>
              </w:rPr>
              <w:t>30 marks multiple Choice questions</w:t>
            </w:r>
          </w:p>
          <w:p w:rsidR="4693B85F" w:rsidP="6550DBE7" w:rsidRDefault="4693B85F" w14:paraId="14AAB2EC" w14:textId="1991F4D5">
            <w:pPr>
              <w:pStyle w:val="Normal"/>
              <w:shd w:val="clear" w:color="auto" w:fill="FFFFFF" w:themeFill="background1"/>
              <w:rPr>
                <w:sz w:val="20"/>
                <w:szCs w:val="20"/>
              </w:rPr>
            </w:pPr>
            <w:r w:rsidRPr="6550DBE7" w:rsidR="4693B85F">
              <w:rPr>
                <w:sz w:val="20"/>
                <w:szCs w:val="20"/>
              </w:rPr>
              <w:t xml:space="preserve">Section B </w:t>
            </w:r>
            <w:r w:rsidRPr="6550DBE7" w:rsidR="7111B778">
              <w:rPr>
                <w:sz w:val="20"/>
                <w:szCs w:val="20"/>
              </w:rPr>
              <w:t xml:space="preserve">= </w:t>
            </w:r>
            <w:r w:rsidRPr="6550DBE7" w:rsidR="4693B85F">
              <w:rPr>
                <w:sz w:val="20"/>
                <w:szCs w:val="20"/>
              </w:rPr>
              <w:t xml:space="preserve">40 marks </w:t>
            </w:r>
          </w:p>
          <w:p w:rsidR="22ABC339" w:rsidP="6550DBE7" w:rsidRDefault="22ABC339" w14:paraId="2E29C648" w14:textId="652AB173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550DBE7" w:rsidR="22ABC339">
              <w:rPr>
                <w:sz w:val="20"/>
                <w:szCs w:val="20"/>
              </w:rPr>
              <w:t>10 marks essay</w:t>
            </w:r>
            <w:r w:rsidRPr="6550DBE7" w:rsidR="052A6477">
              <w:rPr>
                <w:sz w:val="20"/>
                <w:szCs w:val="20"/>
              </w:rPr>
              <w:t xml:space="preserve"> (AO1 and AO2)</w:t>
            </w:r>
            <w:r w:rsidRPr="6550DBE7" w:rsidR="22ABC339">
              <w:rPr>
                <w:sz w:val="20"/>
                <w:szCs w:val="20"/>
              </w:rPr>
              <w:t xml:space="preserve"> – </w:t>
            </w:r>
            <w:r w:rsidRPr="6550DBE7" w:rsidR="6D99A310">
              <w:rPr>
                <w:sz w:val="20"/>
                <w:szCs w:val="20"/>
              </w:rPr>
              <w:t>Interpretation</w:t>
            </w:r>
            <w:r w:rsidRPr="6550DBE7" w:rsidR="22ABC339">
              <w:rPr>
                <w:sz w:val="20"/>
                <w:szCs w:val="20"/>
              </w:rPr>
              <w:t xml:space="preserve"> of economic</w:t>
            </w:r>
            <w:r w:rsidRPr="6550DBE7" w:rsidR="24F34243">
              <w:rPr>
                <w:sz w:val="20"/>
                <w:szCs w:val="20"/>
              </w:rPr>
              <w:t xml:space="preserve"> </w:t>
            </w:r>
            <w:r w:rsidRPr="6550DBE7" w:rsidR="22ABC339">
              <w:rPr>
                <w:sz w:val="20"/>
                <w:szCs w:val="20"/>
              </w:rPr>
              <w:t>data</w:t>
            </w:r>
          </w:p>
          <w:p w:rsidR="7E9E89FC" w:rsidP="6550DBE7" w:rsidRDefault="7E9E89FC" w14:paraId="252DD574" w14:textId="61448FD2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6550DBE7" w:rsidR="7E9E89FC">
              <w:rPr>
                <w:sz w:val="20"/>
                <w:szCs w:val="20"/>
              </w:rPr>
              <w:t xml:space="preserve">15 marks explain </w:t>
            </w:r>
            <w:r w:rsidRPr="6550DBE7" w:rsidR="72A496EF">
              <w:rPr>
                <w:sz w:val="20"/>
                <w:szCs w:val="20"/>
              </w:rPr>
              <w:t>(AO2)</w:t>
            </w:r>
          </w:p>
          <w:p w:rsidR="72A496EF" w:rsidP="6550DBE7" w:rsidRDefault="72A496EF" w14:paraId="57121CF2" w14:textId="69A760AE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6550DBE7" w:rsidR="72A496EF">
              <w:rPr>
                <w:sz w:val="20"/>
                <w:szCs w:val="20"/>
              </w:rPr>
              <w:t xml:space="preserve">25 marks (AO1), (AO2), (A03) </w:t>
            </w:r>
            <w:r w:rsidRPr="6550DBE7" w:rsidR="65010931">
              <w:rPr>
                <w:sz w:val="20"/>
                <w:szCs w:val="20"/>
              </w:rPr>
              <w:t>and (AO4)</w:t>
            </w:r>
          </w:p>
          <w:p w:rsidR="00C71434" w:rsidP="6550DBE7" w:rsidRDefault="00C71434" w14:paraId="208F0CF7" w14:textId="5FE0DA2A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6550DBE7" w:rsidR="00C71434">
              <w:rPr>
                <w:sz w:val="20"/>
                <w:szCs w:val="20"/>
              </w:rPr>
              <w:t>Rationale</w:t>
            </w:r>
          </w:p>
          <w:p w:rsidR="5E10531A" w:rsidP="6550DBE7" w:rsidRDefault="5E10531A" w14:paraId="14D75FBA" w14:textId="78FEDF15">
            <w:pPr>
              <w:pStyle w:val="Normal"/>
              <w:shd w:val="clear" w:color="auto" w:fill="FFFFFF" w:themeFill="background1"/>
              <w:rPr>
                <w:sz w:val="20"/>
                <w:szCs w:val="20"/>
              </w:rPr>
            </w:pPr>
            <w:r w:rsidRPr="6550DBE7" w:rsidR="5E10531A">
              <w:rPr>
                <w:sz w:val="20"/>
                <w:szCs w:val="20"/>
              </w:rPr>
              <w:t>This paper will be similar to paper three</w:t>
            </w:r>
            <w:r w:rsidRPr="6550DBE7" w:rsidR="50642A11">
              <w:rPr>
                <w:sz w:val="20"/>
                <w:szCs w:val="20"/>
              </w:rPr>
              <w:t>,</w:t>
            </w:r>
            <w:r w:rsidRPr="6550DBE7" w:rsidR="5E10531A">
              <w:rPr>
                <w:sz w:val="20"/>
                <w:szCs w:val="20"/>
              </w:rPr>
              <w:t xml:space="preserve"> which combines micro and macroeconomics </w:t>
            </w:r>
            <w:r w:rsidRPr="6550DBE7" w:rsidR="6776233A">
              <w:rPr>
                <w:sz w:val="20"/>
                <w:szCs w:val="20"/>
              </w:rPr>
              <w:t xml:space="preserve">content and </w:t>
            </w:r>
            <w:r w:rsidRPr="6550DBE7" w:rsidR="5E10531A">
              <w:rPr>
                <w:sz w:val="20"/>
                <w:szCs w:val="20"/>
              </w:rPr>
              <w:t>skill</w:t>
            </w:r>
            <w:r w:rsidRPr="6550DBE7" w:rsidR="4ABA122E">
              <w:rPr>
                <w:sz w:val="20"/>
                <w:szCs w:val="20"/>
              </w:rPr>
              <w:t>s. This will help to make good judgement on the overall progress of student</w:t>
            </w:r>
            <w:r w:rsidRPr="6550DBE7" w:rsidR="26D21D08">
              <w:rPr>
                <w:sz w:val="20"/>
                <w:szCs w:val="20"/>
              </w:rPr>
              <w:t>s</w:t>
            </w:r>
            <w:r w:rsidRPr="6550DBE7" w:rsidR="4ABA122E">
              <w:rPr>
                <w:sz w:val="20"/>
                <w:szCs w:val="20"/>
              </w:rPr>
              <w:t xml:space="preserve"> </w:t>
            </w:r>
            <w:r w:rsidRPr="6550DBE7" w:rsidR="7476327C">
              <w:rPr>
                <w:sz w:val="20"/>
                <w:szCs w:val="20"/>
              </w:rPr>
              <w:t xml:space="preserve">by specifically </w:t>
            </w:r>
            <w:r w:rsidRPr="6550DBE7" w:rsidR="0A3C88B4">
              <w:rPr>
                <w:sz w:val="20"/>
                <w:szCs w:val="20"/>
              </w:rPr>
              <w:t>assessing</w:t>
            </w:r>
            <w:r w:rsidRPr="6550DBE7" w:rsidR="7476327C">
              <w:rPr>
                <w:sz w:val="20"/>
                <w:szCs w:val="20"/>
              </w:rPr>
              <w:t xml:space="preserve"> them on content covered which will </w:t>
            </w:r>
            <w:r w:rsidRPr="6550DBE7" w:rsidR="69AAA1E8">
              <w:rPr>
                <w:sz w:val="20"/>
                <w:szCs w:val="20"/>
              </w:rPr>
              <w:t xml:space="preserve">usually not be possible using paper 1 or paper 2 format.  </w:t>
            </w:r>
            <w:r w:rsidRPr="6550DBE7" w:rsidR="7476327C">
              <w:rPr>
                <w:sz w:val="20"/>
                <w:szCs w:val="20"/>
              </w:rPr>
              <w:t xml:space="preserve"> </w:t>
            </w:r>
          </w:p>
          <w:p w:rsidR="00DC06B7" w:rsidP="6550DBE7" w:rsidRDefault="00DC06B7" w14:paraId="501E62B6" w14:textId="2320CEAE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6550DBE7" w:rsidR="44C974D2">
              <w:rPr>
                <w:sz w:val="20"/>
                <w:szCs w:val="20"/>
              </w:rPr>
              <w:t xml:space="preserve">About </w:t>
            </w:r>
            <w:r w:rsidRPr="6550DBE7" w:rsidR="5D1BED61">
              <w:rPr>
                <w:sz w:val="20"/>
                <w:szCs w:val="20"/>
              </w:rPr>
              <w:t>7</w:t>
            </w:r>
            <w:r w:rsidRPr="6550DBE7" w:rsidR="44C974D2">
              <w:rPr>
                <w:sz w:val="20"/>
                <w:szCs w:val="20"/>
              </w:rPr>
              <w:t>0% of paper1 (micro) was taught pre locked down and 30% during lo</w:t>
            </w:r>
            <w:r w:rsidRPr="6550DBE7" w:rsidR="72B2F7AB">
              <w:rPr>
                <w:sz w:val="20"/>
                <w:szCs w:val="20"/>
              </w:rPr>
              <w:t>cked down</w:t>
            </w:r>
          </w:p>
          <w:p w:rsidR="00DC06B7" w:rsidP="6550DBE7" w:rsidRDefault="00DC06B7" w14:paraId="4540A3F5" w14:textId="1F4D40D5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6550DBE7" w:rsidR="00DC06B7">
              <w:rPr>
                <w:sz w:val="20"/>
                <w:szCs w:val="20"/>
              </w:rPr>
              <w:t>The 2</w:t>
            </w:r>
            <w:r w:rsidRPr="6550DBE7" w:rsidR="00DC06B7">
              <w:rPr>
                <w:sz w:val="20"/>
                <w:szCs w:val="20"/>
                <w:vertAlign w:val="superscript"/>
              </w:rPr>
              <w:t>nd</w:t>
            </w:r>
            <w:r w:rsidRPr="6550DBE7" w:rsidR="00DC06B7">
              <w:rPr>
                <w:sz w:val="20"/>
                <w:szCs w:val="20"/>
              </w:rPr>
              <w:t xml:space="preserve"> half of taught online </w:t>
            </w:r>
            <w:r w:rsidRPr="6550DBE7" w:rsidR="45BC6F9E">
              <w:rPr>
                <w:sz w:val="20"/>
                <w:szCs w:val="20"/>
              </w:rPr>
              <w:t>lessons/topics ha</w:t>
            </w:r>
            <w:r w:rsidRPr="6550DBE7" w:rsidR="743DE61D">
              <w:rPr>
                <w:sz w:val="20"/>
                <w:szCs w:val="20"/>
              </w:rPr>
              <w:t>d</w:t>
            </w:r>
            <w:r w:rsidRPr="6550DBE7" w:rsidR="00DC06B7">
              <w:rPr>
                <w:sz w:val="20"/>
                <w:szCs w:val="20"/>
              </w:rPr>
              <w:t xml:space="preserve"> variable</w:t>
            </w:r>
            <w:r w:rsidRPr="6550DBE7" w:rsidR="339110B6">
              <w:rPr>
                <w:sz w:val="20"/>
                <w:szCs w:val="20"/>
              </w:rPr>
              <w:t xml:space="preserve"> outcomes in terms of progress</w:t>
            </w:r>
          </w:p>
          <w:p w:rsidRPr="006702C3" w:rsidR="00DC06B7" w:rsidP="6550DBE7" w:rsidRDefault="00DC06B7" w14:paraId="05DC7508" w14:textId="2AEAFCE2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6550DBE7" w:rsidR="339110B6">
              <w:rPr>
                <w:sz w:val="20"/>
                <w:szCs w:val="20"/>
              </w:rPr>
              <w:t>Paper 2- A level Macro</w:t>
            </w:r>
            <w:r w:rsidRPr="6550DBE7" w:rsidR="0126ED11">
              <w:rPr>
                <w:sz w:val="20"/>
                <w:szCs w:val="20"/>
              </w:rPr>
              <w:t xml:space="preserve"> content was not covered, a</w:t>
            </w:r>
            <w:r w:rsidRPr="6550DBE7" w:rsidR="339110B6">
              <w:rPr>
                <w:sz w:val="20"/>
                <w:szCs w:val="20"/>
              </w:rPr>
              <w:t>lthough, the foundation level (AS) was covered satisfactorily</w:t>
            </w:r>
            <w:r w:rsidRPr="6550DBE7" w:rsidR="599880D5">
              <w:rPr>
                <w:sz w:val="20"/>
                <w:szCs w:val="20"/>
              </w:rPr>
              <w:t xml:space="preserve">. </w:t>
            </w:r>
          </w:p>
        </w:tc>
      </w:tr>
      <w:tr w:rsidRPr="00975AA0" w:rsidR="00A413ED" w:rsidTr="6550DBE7" w14:paraId="3AE5AA27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23F64C9B" w14:textId="42D89E52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Secondary source </w:t>
            </w:r>
            <w:r w:rsidRPr="00A413ED">
              <w:rPr>
                <w:b/>
                <w:sz w:val="18"/>
                <w:szCs w:val="16"/>
              </w:rPr>
              <w:t>(details of data from assessments and tests)</w:t>
            </w:r>
          </w:p>
        </w:tc>
      </w:tr>
      <w:tr w:rsidRPr="00975AA0" w:rsidR="00A413ED" w:rsidTr="6550DBE7" w14:paraId="5B90D175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46317D" w:rsidR="0046317D" w:rsidP="6550DBE7" w:rsidRDefault="00DC06B7" w14:paraId="17BD7DD3" w14:textId="43B87303">
            <w:pPr>
              <w:pStyle w:val="ListParagraph"/>
              <w:numPr>
                <w:ilvl w:val="0"/>
                <w:numId w:val="12"/>
              </w:numPr>
              <w:spacing w:after="30" w:line="360" w:lineRule="atLeas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550DBE7" w:rsidR="36D19966">
              <w:rPr>
                <w:sz w:val="20"/>
                <w:szCs w:val="20"/>
              </w:rPr>
              <w:t xml:space="preserve">Locked down assessments online </w:t>
            </w:r>
          </w:p>
        </w:tc>
      </w:tr>
      <w:tr w:rsidRPr="00975AA0" w:rsidR="00A413ED" w:rsidTr="6550DBE7" w14:paraId="35351A34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DC04C1F" w14:textId="0B3E8E34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Pr="00975AA0" w:rsidR="00A413ED" w:rsidTr="6550DBE7" w14:paraId="443D50AD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DC06B7" w:rsidR="00CB658E" w:rsidP="6550DBE7" w:rsidRDefault="00DC06B7" w14:paraId="38A802C6" w14:textId="4193F11A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550DBE7" w:rsidR="64448AB0">
              <w:rPr>
                <w:sz w:val="20"/>
                <w:szCs w:val="20"/>
              </w:rPr>
              <w:t xml:space="preserve">Research project and online presentation </w:t>
            </w:r>
          </w:p>
          <w:p w:rsidRPr="00DC06B7" w:rsidR="00CB658E" w:rsidP="6550DBE7" w:rsidRDefault="00DC06B7" w14:paraId="33089002" w14:textId="2C521C7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6550DBE7" w:rsidR="64448AB0">
              <w:rPr>
                <w:sz w:val="20"/>
                <w:szCs w:val="20"/>
              </w:rPr>
              <w:t xml:space="preserve">Essays </w:t>
            </w:r>
          </w:p>
          <w:p w:rsidRPr="00DC06B7" w:rsidR="00CB658E" w:rsidP="6550DBE7" w:rsidRDefault="00DC06B7" w14:paraId="60A20F99" w14:textId="219A47CF">
            <w:pPr>
              <w:pStyle w:val="Normal"/>
              <w:ind w:left="0"/>
              <w:rPr>
                <w:sz w:val="20"/>
                <w:szCs w:val="20"/>
              </w:rPr>
            </w:pPr>
          </w:p>
        </w:tc>
      </w:tr>
    </w:tbl>
    <w:p w:rsidRPr="00A413ED" w:rsidR="00240B74" w:rsidRDefault="00240B74" w14:paraId="23DFA4D4" w14:textId="77777777">
      <w:pPr>
        <w:rPr>
          <w:sz w:val="24"/>
          <w:szCs w:val="20"/>
        </w:rPr>
      </w:pPr>
    </w:p>
    <w:sectPr w:rsidRPr="00A413ED" w:rsidR="00240B7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12FB" w:rsidP="00A413ED" w:rsidRDefault="00AE12FB" w14:paraId="4BFB04A8" w14:textId="77777777">
      <w:pPr>
        <w:spacing w:after="0" w:line="240" w:lineRule="auto"/>
      </w:pPr>
      <w:r>
        <w:separator/>
      </w:r>
    </w:p>
  </w:endnote>
  <w:endnote w:type="continuationSeparator" w:id="0">
    <w:p w:rsidR="00AE12FB" w:rsidP="00A413ED" w:rsidRDefault="00AE12FB" w14:paraId="13346B74" w14:textId="77777777">
      <w:pPr>
        <w:spacing w:after="0" w:line="240" w:lineRule="auto"/>
      </w:pPr>
      <w:r>
        <w:continuationSeparator/>
      </w:r>
    </w:p>
  </w:endnote>
  <w:endnote w:type="continuationNotice" w:id="1">
    <w:p w:rsidR="00AE12FB" w:rsidRDefault="00AE12FB" w14:paraId="0A178EE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12FB" w:rsidP="00A413ED" w:rsidRDefault="00AE12FB" w14:paraId="4E57B318" w14:textId="77777777">
      <w:pPr>
        <w:spacing w:after="0" w:line="240" w:lineRule="auto"/>
      </w:pPr>
      <w:r>
        <w:separator/>
      </w:r>
    </w:p>
  </w:footnote>
  <w:footnote w:type="continuationSeparator" w:id="0">
    <w:p w:rsidR="00AE12FB" w:rsidP="00A413ED" w:rsidRDefault="00AE12FB" w14:paraId="32C4B532" w14:textId="77777777">
      <w:pPr>
        <w:spacing w:after="0" w:line="240" w:lineRule="auto"/>
      </w:pPr>
      <w:r>
        <w:continuationSeparator/>
      </w:r>
    </w:p>
  </w:footnote>
  <w:footnote w:type="continuationNotice" w:id="1">
    <w:p w:rsidR="00AE12FB" w:rsidRDefault="00AE12FB" w14:paraId="16EA74A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413ED" w:rsidR="00A413ED" w:rsidRDefault="00A413ED" w14:paraId="1DDEDE4F" w14:textId="2CF0DB41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6550DBE7">
      <w:rPr>
        <w:b w:val="1"/>
        <w:bCs w:val="1"/>
        <w:color w:val="A6A6A6" w:themeColor="background1" w:themeShade="A6"/>
        <w:sz w:val="28"/>
        <w:szCs w:val="28"/>
        <w:u w:val="single"/>
      </w:rPr>
      <w:t>Subject</w:t>
    </w:r>
    <w:r w:rsidRPr="00A413ED" w:rsidR="6550DBE7">
      <w:rPr>
        <w:b w:val="1"/>
        <w:bCs w:val="1"/>
        <w:color w:val="A6A6A6" w:themeColor="background1" w:themeShade="A6"/>
        <w:sz w:val="28"/>
        <w:szCs w:val="28"/>
        <w:u w:val="single"/>
      </w:rPr>
      <w:t xml:space="preserve"> Assessment </w:t>
    </w:r>
    <w:r w:rsidR="6550DBE7">
      <w:rPr>
        <w:b w:val="1"/>
        <w:bCs w:val="1"/>
        <w:color w:val="A6A6A6" w:themeColor="background1" w:themeShade="A6"/>
        <w:sz w:val="28"/>
        <w:szCs w:val="28"/>
        <w:u w:val="single"/>
      </w:rPr>
      <w:t>Portfolio</w:t>
    </w:r>
  </w:p>
  <w:p w:rsidR="00A413ED" w:rsidRDefault="00A413ED" w14:paraId="131B721C" w14:textId="1E88B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75266"/>
    <w:multiLevelType w:val="hybridMultilevel"/>
    <w:tmpl w:val="C6BCAA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E314F"/>
    <w:multiLevelType w:val="hybridMultilevel"/>
    <w:tmpl w:val="AF8871F6"/>
    <w:lvl w:ilvl="0" w:tplc="49162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BDA3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686EA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313077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83D274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81AF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6F4E9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B3D23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4EBAA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880470E"/>
    <w:multiLevelType w:val="hybridMultilevel"/>
    <w:tmpl w:val="2E68DC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D24849"/>
    <w:multiLevelType w:val="hybrid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FB3EE2"/>
    <w:multiLevelType w:val="hybrid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5D5939"/>
    <w:multiLevelType w:val="hybridMultilevel"/>
    <w:tmpl w:val="B7FA77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FF597A"/>
    <w:multiLevelType w:val="hybridMultilevel"/>
    <w:tmpl w:val="A9AEEC50"/>
    <w:lvl w:ilvl="0" w:tplc="08090001">
      <w:start w:val="1"/>
      <w:numFmt w:val="bullet"/>
      <w:lvlText w:val=""/>
      <w:lvlJc w:val="left"/>
      <w:pPr>
        <w:ind w:left="76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hint="default" w:ascii="Wingdings" w:hAnsi="Wingdings"/>
      </w:rPr>
    </w:lvl>
  </w:abstractNum>
  <w:abstractNum w:abstractNumId="7" w15:restartNumberingAfterBreak="0">
    <w:nsid w:val="64875BF3"/>
    <w:multiLevelType w:val="hybridMultilevel"/>
    <w:tmpl w:val="87CAB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4DC2895"/>
    <w:multiLevelType w:val="hybridMultilevel"/>
    <w:tmpl w:val="49AC9DB0"/>
    <w:lvl w:ilvl="0" w:tplc="B83E9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A7E6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5316D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85B60D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BE50A6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D88F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8C02A9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84308C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BDE7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51F279F"/>
    <w:multiLevelType w:val="hybridMultilevel"/>
    <w:tmpl w:val="8B00EF5A"/>
    <w:lvl w:ilvl="0" w:tplc="CB74D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714C1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C4EE7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4A62E9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ED067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17743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248EC5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BB6EF5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EBACE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9BE6B1F"/>
    <w:multiLevelType w:val="hybridMultilevel"/>
    <w:tmpl w:val="806AFC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7A28DC"/>
    <w:multiLevelType w:val="hybridMultilevel"/>
    <w:tmpl w:val="7706B082"/>
    <w:lvl w:ilvl="0" w:tplc="D9321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96B89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1158D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1F4E5C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F3A48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3DDEC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C61E2A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0148A3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BC1C1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CE11031"/>
    <w:multiLevelType w:val="hybridMultilevel"/>
    <w:tmpl w:val="97BA5D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">
    <w:abstractNumId w:val="3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A0"/>
    <w:rsid w:val="000319B9"/>
    <w:rsid w:val="00043C8B"/>
    <w:rsid w:val="0006311E"/>
    <w:rsid w:val="0006489B"/>
    <w:rsid w:val="000733F0"/>
    <w:rsid w:val="00096476"/>
    <w:rsid w:val="000B31AF"/>
    <w:rsid w:val="000C05A7"/>
    <w:rsid w:val="000D4E66"/>
    <w:rsid w:val="000E341B"/>
    <w:rsid w:val="000E3870"/>
    <w:rsid w:val="000F3268"/>
    <w:rsid w:val="00127B2F"/>
    <w:rsid w:val="0016244A"/>
    <w:rsid w:val="00184837"/>
    <w:rsid w:val="00193FDD"/>
    <w:rsid w:val="001A0567"/>
    <w:rsid w:val="001A0A5C"/>
    <w:rsid w:val="001B6654"/>
    <w:rsid w:val="00234CBC"/>
    <w:rsid w:val="00240B74"/>
    <w:rsid w:val="00243CD1"/>
    <w:rsid w:val="00270285"/>
    <w:rsid w:val="00283E94"/>
    <w:rsid w:val="002E1F56"/>
    <w:rsid w:val="002F0947"/>
    <w:rsid w:val="0030768A"/>
    <w:rsid w:val="003572B3"/>
    <w:rsid w:val="00392054"/>
    <w:rsid w:val="003B7D0C"/>
    <w:rsid w:val="00402721"/>
    <w:rsid w:val="004263D2"/>
    <w:rsid w:val="0046317D"/>
    <w:rsid w:val="004A7ADC"/>
    <w:rsid w:val="004E70E7"/>
    <w:rsid w:val="00520B05"/>
    <w:rsid w:val="00562B12"/>
    <w:rsid w:val="005C3B03"/>
    <w:rsid w:val="005D3CFE"/>
    <w:rsid w:val="005E4EDA"/>
    <w:rsid w:val="0061567F"/>
    <w:rsid w:val="006473E9"/>
    <w:rsid w:val="006702C3"/>
    <w:rsid w:val="006D27F6"/>
    <w:rsid w:val="00795B53"/>
    <w:rsid w:val="007C1545"/>
    <w:rsid w:val="007F4D6F"/>
    <w:rsid w:val="00834AF2"/>
    <w:rsid w:val="00834EFE"/>
    <w:rsid w:val="008D245B"/>
    <w:rsid w:val="008E12EB"/>
    <w:rsid w:val="00971AA9"/>
    <w:rsid w:val="00975AA0"/>
    <w:rsid w:val="00980259"/>
    <w:rsid w:val="009B0544"/>
    <w:rsid w:val="009D5E62"/>
    <w:rsid w:val="009E6D48"/>
    <w:rsid w:val="009F489F"/>
    <w:rsid w:val="00A0123F"/>
    <w:rsid w:val="00A25068"/>
    <w:rsid w:val="00A413ED"/>
    <w:rsid w:val="00A45E92"/>
    <w:rsid w:val="00A70CEC"/>
    <w:rsid w:val="00A91938"/>
    <w:rsid w:val="00AB5398"/>
    <w:rsid w:val="00AC2B48"/>
    <w:rsid w:val="00AD17AF"/>
    <w:rsid w:val="00AE1249"/>
    <w:rsid w:val="00AE12FB"/>
    <w:rsid w:val="00AE3370"/>
    <w:rsid w:val="00B12CAE"/>
    <w:rsid w:val="00B326C4"/>
    <w:rsid w:val="00B764AC"/>
    <w:rsid w:val="00B832BB"/>
    <w:rsid w:val="00BB26EA"/>
    <w:rsid w:val="00BB4A33"/>
    <w:rsid w:val="00BF416C"/>
    <w:rsid w:val="00C71434"/>
    <w:rsid w:val="00CA2EA5"/>
    <w:rsid w:val="00CA4392"/>
    <w:rsid w:val="00CB5F7C"/>
    <w:rsid w:val="00CB658E"/>
    <w:rsid w:val="00D10BBE"/>
    <w:rsid w:val="00D1517E"/>
    <w:rsid w:val="00D26C77"/>
    <w:rsid w:val="00D5542B"/>
    <w:rsid w:val="00D555FE"/>
    <w:rsid w:val="00D623A6"/>
    <w:rsid w:val="00D86B55"/>
    <w:rsid w:val="00DC06B7"/>
    <w:rsid w:val="00DE7369"/>
    <w:rsid w:val="00E10716"/>
    <w:rsid w:val="00E41B15"/>
    <w:rsid w:val="00E635EB"/>
    <w:rsid w:val="00EF051D"/>
    <w:rsid w:val="00F034FB"/>
    <w:rsid w:val="00F66A00"/>
    <w:rsid w:val="00F81A28"/>
    <w:rsid w:val="00F83766"/>
    <w:rsid w:val="00FF2524"/>
    <w:rsid w:val="0126ED11"/>
    <w:rsid w:val="052A6477"/>
    <w:rsid w:val="06CA22BD"/>
    <w:rsid w:val="0A3C88B4"/>
    <w:rsid w:val="0EE4773B"/>
    <w:rsid w:val="11EDDE4F"/>
    <w:rsid w:val="1235405A"/>
    <w:rsid w:val="163397E6"/>
    <w:rsid w:val="17714A66"/>
    <w:rsid w:val="19590222"/>
    <w:rsid w:val="199447C7"/>
    <w:rsid w:val="1A40523F"/>
    <w:rsid w:val="1B301828"/>
    <w:rsid w:val="1F13C362"/>
    <w:rsid w:val="2085308F"/>
    <w:rsid w:val="228F2C23"/>
    <w:rsid w:val="22ABC339"/>
    <w:rsid w:val="22D0FBE4"/>
    <w:rsid w:val="24F34243"/>
    <w:rsid w:val="2644771F"/>
    <w:rsid w:val="26D21D08"/>
    <w:rsid w:val="274974E9"/>
    <w:rsid w:val="2FA7B6FB"/>
    <w:rsid w:val="30A23392"/>
    <w:rsid w:val="3124DC95"/>
    <w:rsid w:val="318F174C"/>
    <w:rsid w:val="328C2790"/>
    <w:rsid w:val="3322FA27"/>
    <w:rsid w:val="332AE7AD"/>
    <w:rsid w:val="339110B6"/>
    <w:rsid w:val="342E1DF7"/>
    <w:rsid w:val="36D19966"/>
    <w:rsid w:val="37E53073"/>
    <w:rsid w:val="39532993"/>
    <w:rsid w:val="3CC9DC6D"/>
    <w:rsid w:val="3EA974CD"/>
    <w:rsid w:val="43E087A6"/>
    <w:rsid w:val="44C974D2"/>
    <w:rsid w:val="45BC6F9E"/>
    <w:rsid w:val="4693B85F"/>
    <w:rsid w:val="49005207"/>
    <w:rsid w:val="4ABA122E"/>
    <w:rsid w:val="4ACEAF90"/>
    <w:rsid w:val="4DC28853"/>
    <w:rsid w:val="50642A11"/>
    <w:rsid w:val="5307ADDA"/>
    <w:rsid w:val="53DEBF3F"/>
    <w:rsid w:val="57696A99"/>
    <w:rsid w:val="599880D5"/>
    <w:rsid w:val="5B38355D"/>
    <w:rsid w:val="5D1BED61"/>
    <w:rsid w:val="5DD8AC1D"/>
    <w:rsid w:val="5E10531A"/>
    <w:rsid w:val="5EE19A63"/>
    <w:rsid w:val="61EAE775"/>
    <w:rsid w:val="620E46AC"/>
    <w:rsid w:val="62AC1D40"/>
    <w:rsid w:val="642EC544"/>
    <w:rsid w:val="64448AB0"/>
    <w:rsid w:val="65010931"/>
    <w:rsid w:val="6550DBE7"/>
    <w:rsid w:val="67666606"/>
    <w:rsid w:val="6776233A"/>
    <w:rsid w:val="69AAA1E8"/>
    <w:rsid w:val="6A681509"/>
    <w:rsid w:val="6BA91E74"/>
    <w:rsid w:val="6D99A310"/>
    <w:rsid w:val="7111B778"/>
    <w:rsid w:val="72374C75"/>
    <w:rsid w:val="72A496EF"/>
    <w:rsid w:val="72B2F7AB"/>
    <w:rsid w:val="739CDBA0"/>
    <w:rsid w:val="743DE61D"/>
    <w:rsid w:val="7476327C"/>
    <w:rsid w:val="770A564D"/>
    <w:rsid w:val="79DB6D58"/>
    <w:rsid w:val="7BEB10D0"/>
    <w:rsid w:val="7D4BAB6C"/>
    <w:rsid w:val="7DDF0C60"/>
    <w:rsid w:val="7E9E89FC"/>
    <w:rsid w:val="7EE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2FF383"/>
  <w15:chartTrackingRefBased/>
  <w15:docId w15:val="{8C503C28-5558-4B4D-97ED-ED2CBF18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46c89c-dcb9-4c48-938f-6286dae5abe1">
      <UserInfo>
        <DisplayName>Hannah Potter HPO</DisplayName>
        <AccountId>1068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3A6E36-19F0-4329-A029-EE18AF2EB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b9a4e-1b7e-48e3-837f-3fb798debda3"/>
    <ds:schemaRef ds:uri="8846c89c-dcb9-4c48-938f-6286dae5a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Skinners' Academy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Abubakr</dc:creator>
  <cp:keywords/>
  <dc:description/>
  <cp:lastModifiedBy>Richmond Amakye RAM</cp:lastModifiedBy>
  <cp:revision>12</cp:revision>
  <dcterms:created xsi:type="dcterms:W3CDTF">2021-03-05T08:28:00Z</dcterms:created>
  <dcterms:modified xsi:type="dcterms:W3CDTF">2021-03-08T11:23:21Z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