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975AA0" w:rsidR="00A413ED" w:rsidTr="20D2BC67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75AA0" w:rsidR="00A413ED" w:rsidP="00B832BB" w:rsidRDefault="00A413ED" w14:paraId="4040AD9C" w14:textId="292EE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975AA0" w:rsidR="00A413ED" w:rsidP="00B832BB" w:rsidRDefault="00A45E92" w14:paraId="0C510281" w14:textId="6B16503C">
            <w:pPr>
              <w:rPr>
                <w:sz w:val="24"/>
              </w:rPr>
            </w:pPr>
            <w:r>
              <w:rPr>
                <w:sz w:val="24"/>
              </w:rPr>
              <w:t>History</w:t>
            </w:r>
          </w:p>
        </w:tc>
      </w:tr>
      <w:tr w:rsidRPr="00975AA0" w:rsidR="009F489F" w:rsidTr="20D2BC67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75AA0" w:rsidR="00A413ED" w:rsidP="20D2BC67" w:rsidRDefault="00A413ED" w14:paraId="3231B08D" w14:textId="2E724008">
            <w:pPr>
              <w:rPr>
                <w:b w:val="1"/>
                <w:bCs w:val="1"/>
                <w:sz w:val="24"/>
                <w:szCs w:val="24"/>
              </w:rPr>
            </w:pPr>
            <w:r w:rsidRPr="20D2BC67" w:rsidR="4130DF48">
              <w:rPr>
                <w:b w:val="1"/>
                <w:bCs w:val="1"/>
                <w:sz w:val="24"/>
                <w:szCs w:val="24"/>
              </w:rPr>
              <w:t>Percentage of content covered: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20D2BC67" w:rsidRDefault="00A413ED" w14:paraId="374ED722" w14:textId="44CB101E">
            <w:pPr>
              <w:rPr>
                <w:sz w:val="24"/>
                <w:szCs w:val="24"/>
              </w:rPr>
            </w:pPr>
            <w:r w:rsidRPr="20D2BC67" w:rsidR="4130DF48">
              <w:rPr>
                <w:sz w:val="24"/>
                <w:szCs w:val="24"/>
              </w:rPr>
              <w:t>65%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268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A45E92" w14:paraId="221BE586" w14:textId="4750270B">
            <w:pPr>
              <w:rPr>
                <w:sz w:val="24"/>
              </w:rPr>
            </w:pPr>
            <w:r>
              <w:rPr>
                <w:sz w:val="24"/>
              </w:rPr>
              <w:t>Edexcel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:rsidRPr="00A413ED" w:rsidR="00A413ED" w:rsidP="00B832BB" w:rsidRDefault="00A413ED" w14:paraId="0F35DE9C" w14:textId="602FA36E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A45E92" w14:paraId="20A9CDB5" w14:textId="1E28FC0E">
            <w:pPr>
              <w:rPr>
                <w:sz w:val="24"/>
              </w:rPr>
            </w:pPr>
            <w:r>
              <w:rPr>
                <w:sz w:val="24"/>
              </w:rPr>
              <w:t>GCSE</w:t>
            </w:r>
          </w:p>
        </w:tc>
      </w:tr>
      <w:tr w:rsidRPr="00975AA0" w:rsidR="009F489F" w:rsidTr="20D2BC67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F489F" w:rsidP="00B832BB" w:rsidRDefault="009F489F" w14:paraId="1F5459DE" w14:textId="218A6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009F489F" w:rsidP="00B832BB" w:rsidRDefault="00A45E92" w14:paraId="26E9B829" w14:textId="7777777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Paper 1: Medicine through time</w:t>
            </w:r>
          </w:p>
          <w:p w:rsidRPr="00A45E92" w:rsidR="00A45E92" w:rsidP="00B832BB" w:rsidRDefault="00A45E92" w14:paraId="12F99C82" w14:textId="145E80D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Paper 2 British Depth Study: Early Elizabethan England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413ED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009F489F" w:rsidP="00B832BB" w:rsidRDefault="00A45E92" w14:paraId="35C96CF3" w14:textId="4F32BDF5">
            <w:pPr>
              <w:rPr>
                <w:sz w:val="24"/>
              </w:rPr>
            </w:pPr>
            <w:r>
              <w:rPr>
                <w:sz w:val="24"/>
              </w:rPr>
              <w:t>Paper 2: Period Study Cold War</w:t>
            </w:r>
          </w:p>
          <w:p w:rsidRPr="00975AA0" w:rsidR="00A45E92" w:rsidP="00B832BB" w:rsidRDefault="00A45E92" w14:paraId="196D3C69" w14:textId="55EADF69">
            <w:pPr>
              <w:rPr>
                <w:sz w:val="24"/>
              </w:rPr>
            </w:pPr>
            <w:r>
              <w:rPr>
                <w:sz w:val="24"/>
              </w:rPr>
              <w:t>Paper 2: The USA Conflict at Home and Abroad</w:t>
            </w:r>
          </w:p>
        </w:tc>
      </w:tr>
      <w:tr w:rsidR="00A413ED" w:rsidTr="20D2BC67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13ED" w:rsidP="00B832BB" w:rsidRDefault="00A413ED" w14:paraId="3E862508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Pr="00975AA0" w:rsidR="00A413ED" w:rsidTr="20D2BC67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5C52F8E" w14:textId="69963769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Pr="00E10716" w:rsidR="00A413ED" w:rsidTr="20D2BC67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9D5E62" w:rsidP="00A45E92" w:rsidRDefault="00A45E92" w14:paraId="087A7C56" w14:textId="7777777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 </w:t>
            </w:r>
            <w:r w:rsidR="009D5E62">
              <w:rPr>
                <w:sz w:val="20"/>
                <w:szCs w:val="20"/>
              </w:rPr>
              <w:t>Design</w:t>
            </w:r>
          </w:p>
          <w:p w:rsidR="00D10BBE" w:rsidP="009D5E62" w:rsidRDefault="00A45E92" w14:paraId="4E04FDC5" w14:textId="7E14C12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 w:rsidRPr="009D5E62">
              <w:rPr>
                <w:sz w:val="20"/>
                <w:szCs w:val="20"/>
              </w:rPr>
              <w:t>1 hour 45</w:t>
            </w:r>
            <w:r w:rsidRPr="009D5E62" w:rsidR="009D5E62">
              <w:rPr>
                <w:sz w:val="20"/>
                <w:szCs w:val="20"/>
              </w:rPr>
              <w:t xml:space="preserve"> minutes</w:t>
            </w:r>
          </w:p>
          <w:p w:rsidRPr="00971AA9" w:rsidR="00971AA9" w:rsidP="00971AA9" w:rsidRDefault="009D5E62" w14:paraId="7D3FA01F" w14:textId="4C2496C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question from Paper 1</w:t>
            </w:r>
            <w:r w:rsidR="00971AA9">
              <w:rPr>
                <w:sz w:val="20"/>
                <w:szCs w:val="20"/>
              </w:rPr>
              <w:t xml:space="preserve">: </w:t>
            </w:r>
            <w:proofErr w:type="gramStart"/>
            <w:r w:rsidR="00971AA9">
              <w:rPr>
                <w:sz w:val="20"/>
                <w:szCs w:val="20"/>
              </w:rPr>
              <w:t>4 mark</w:t>
            </w:r>
            <w:proofErr w:type="gramEnd"/>
            <w:r w:rsidR="00971AA9">
              <w:rPr>
                <w:sz w:val="20"/>
                <w:szCs w:val="20"/>
              </w:rPr>
              <w:t xml:space="preserve"> </w:t>
            </w:r>
            <w:r w:rsidR="004A7ADC">
              <w:rPr>
                <w:sz w:val="20"/>
                <w:szCs w:val="20"/>
              </w:rPr>
              <w:t>similarity/difference</w:t>
            </w:r>
            <w:r w:rsidR="00971AA9">
              <w:rPr>
                <w:sz w:val="20"/>
                <w:szCs w:val="20"/>
              </w:rPr>
              <w:t xml:space="preserve"> (knowledge), 12 mark ‘explain why…’, 16 mark Judgement (essay) </w:t>
            </w:r>
            <w:r w:rsidR="00971AA9">
              <w:rPr>
                <w:b/>
                <w:bCs/>
                <w:sz w:val="20"/>
                <w:szCs w:val="20"/>
              </w:rPr>
              <w:t>This reflects the usual structure of this paper</w:t>
            </w:r>
          </w:p>
          <w:p w:rsidRPr="000C05A7" w:rsidR="009D5E62" w:rsidP="009D5E62" w:rsidRDefault="009D5E62" w14:paraId="3C327124" w14:textId="1301DF2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question from Paper 2</w:t>
            </w:r>
            <w:r w:rsidR="00971AA9">
              <w:rPr>
                <w:sz w:val="20"/>
                <w:szCs w:val="20"/>
              </w:rPr>
              <w:t xml:space="preserve"> Depth Study</w:t>
            </w:r>
            <w:r w:rsidR="004A7ADC">
              <w:rPr>
                <w:sz w:val="20"/>
                <w:szCs w:val="20"/>
              </w:rPr>
              <w:t xml:space="preserve"> </w:t>
            </w:r>
            <w:proofErr w:type="gramStart"/>
            <w:r w:rsidR="004A7ADC">
              <w:rPr>
                <w:sz w:val="20"/>
                <w:szCs w:val="20"/>
              </w:rPr>
              <w:t>4 mark</w:t>
            </w:r>
            <w:proofErr w:type="gramEnd"/>
            <w:r w:rsidR="004A7ADC">
              <w:rPr>
                <w:sz w:val="20"/>
                <w:szCs w:val="20"/>
              </w:rPr>
              <w:t xml:space="preserve"> key features (knowledge), 12 mark ‘explain why…’, 16</w:t>
            </w:r>
            <w:r w:rsidR="000C05A7">
              <w:rPr>
                <w:sz w:val="20"/>
                <w:szCs w:val="20"/>
              </w:rPr>
              <w:t xml:space="preserve"> mark Judgement (essay) </w:t>
            </w:r>
            <w:r w:rsidR="000C05A7">
              <w:rPr>
                <w:b/>
                <w:bCs/>
                <w:sz w:val="20"/>
                <w:szCs w:val="20"/>
              </w:rPr>
              <w:t>This reflects the usual structure of this paper</w:t>
            </w:r>
          </w:p>
          <w:p w:rsidRPr="00C71434" w:rsidR="000C05A7" w:rsidP="009D5E62" w:rsidRDefault="000C05A7" w14:paraId="49DB5A39" w14:textId="139C7C4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 w:rsidRPr="00C71434">
              <w:rPr>
                <w:sz w:val="20"/>
                <w:szCs w:val="20"/>
              </w:rPr>
              <w:t xml:space="preserve">Each paper will only focus on 1 or 2 of the </w:t>
            </w:r>
            <w:r w:rsidRPr="00C71434" w:rsidR="00C71434">
              <w:rPr>
                <w:sz w:val="20"/>
                <w:szCs w:val="20"/>
              </w:rPr>
              <w:t>3 or 4 key topics from each unit</w:t>
            </w:r>
          </w:p>
          <w:p w:rsidR="00C71434" w:rsidP="00C71434" w:rsidRDefault="00C71434" w14:paraId="75594E77" w14:textId="3A531666">
            <w:pPr>
              <w:shd w:val="clear" w:color="auto" w:fill="FFFFFF"/>
              <w:rPr>
                <w:sz w:val="20"/>
                <w:szCs w:val="20"/>
              </w:rPr>
            </w:pPr>
          </w:p>
          <w:p w:rsidR="00C71434" w:rsidP="00C71434" w:rsidRDefault="00C71434" w14:paraId="208F0CF7" w14:textId="5FE0DA2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Rationale</w:t>
            </w:r>
          </w:p>
          <w:p w:rsidR="00C71434" w:rsidP="00FF2524" w:rsidRDefault="00193FDD" w14:paraId="501E62B6" w14:textId="379CC49A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FF2524">
              <w:rPr>
                <w:sz w:val="20"/>
                <w:szCs w:val="20"/>
              </w:rPr>
              <w:t xml:space="preserve">Paper 1 and the Depth Study form Paper 2 were taught fully in school and were not interrupted by school closure, </w:t>
            </w:r>
            <w:r w:rsidRPr="00FF2524" w:rsidR="00FF2524">
              <w:rPr>
                <w:sz w:val="20"/>
                <w:szCs w:val="20"/>
              </w:rPr>
              <w:t>periods of isolation or any other Covid-related events</w:t>
            </w:r>
          </w:p>
          <w:p w:rsidR="00FF2524" w:rsidP="00FF2524" w:rsidRDefault="00FF2524" w14:paraId="142F1DBE" w14:textId="2F0C2450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Period Study from Paper 2 was not taught fully</w:t>
            </w:r>
          </w:p>
          <w:p w:rsidR="00FF2524" w:rsidP="00FF2524" w:rsidRDefault="00FF2524" w14:paraId="7FD9E7C0" w14:textId="31C94C40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3 has been taught but teaching has been hugely disrupted </w:t>
            </w:r>
            <w:r w:rsidR="00D623A6">
              <w:rPr>
                <w:sz w:val="20"/>
                <w:szCs w:val="20"/>
              </w:rPr>
              <w:t>and individual pupils have missed varying amounts of content</w:t>
            </w:r>
          </w:p>
          <w:p w:rsidR="00D623A6" w:rsidP="00FF2524" w:rsidRDefault="00D623A6" w14:paraId="127F084C" w14:textId="4154B9F2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These questions are all knowledge-based rather than source based. This is because these skills are built over the duration of the course </w:t>
            </w:r>
            <w:r w:rsidR="00BB26EA">
              <w:rPr>
                <w:sz w:val="20"/>
                <w:szCs w:val="20"/>
              </w:rPr>
              <w:t xml:space="preserve">and it has not been possible to devote sufficient time to adequately develop </w:t>
            </w:r>
            <w:r w:rsidR="005D3CFE">
              <w:rPr>
                <w:sz w:val="20"/>
                <w:szCs w:val="20"/>
              </w:rPr>
              <w:t xml:space="preserve">these skills, whereas recall, explanation and building judgements have been better covered. </w:t>
            </w:r>
          </w:p>
          <w:p w:rsidR="00AE1249" w:rsidP="00FF2524" w:rsidRDefault="00AE1249" w14:paraId="6A6E427E" w14:textId="26A77658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would also not usually be source-based question on Paper 2</w:t>
            </w:r>
          </w:p>
          <w:p w:rsidRPr="00FF2524" w:rsidR="00AE1249" w:rsidP="00FF2524" w:rsidRDefault="00AE1249" w14:paraId="0173D514" w14:textId="595F5C75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design of test also limits the number of question types that pupils have to </w:t>
            </w:r>
            <w:r w:rsidR="006702C3">
              <w:rPr>
                <w:sz w:val="20"/>
                <w:szCs w:val="20"/>
              </w:rPr>
              <w:t>revise during the next 6 weeks</w:t>
            </w:r>
          </w:p>
          <w:p w:rsidRPr="006702C3" w:rsidR="00D10BBE" w:rsidP="006702C3" w:rsidRDefault="006702C3" w14:paraId="05DC7508" w14:textId="5994660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Access Arrangements – some pupils will require 25% extra time or use of </w:t>
            </w:r>
            <w:r w:rsidR="001B6654">
              <w:rPr>
                <w:sz w:val="20"/>
                <w:szCs w:val="20"/>
              </w:rPr>
              <w:t xml:space="preserve">other usual </w:t>
            </w:r>
            <w:proofErr w:type="spellStart"/>
            <w:r w:rsidR="001B6654">
              <w:rPr>
                <w:sz w:val="20"/>
                <w:szCs w:val="20"/>
              </w:rPr>
              <w:t>adapataions</w:t>
            </w:r>
            <w:proofErr w:type="spellEnd"/>
            <w:r w:rsidR="001B6654">
              <w:rPr>
                <w:sz w:val="20"/>
                <w:szCs w:val="20"/>
              </w:rPr>
              <w:t xml:space="preserve"> such as use of a laptop or a reader</w:t>
            </w:r>
          </w:p>
        </w:tc>
      </w:tr>
      <w:tr w:rsidRPr="00975AA0" w:rsidR="00A413ED" w:rsidTr="20D2BC67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975AA0" w:rsidR="00A413ED" w:rsidTr="20D2BC67" w14:paraId="5B90D175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A413ED" w:rsidP="003572B3" w:rsidRDefault="003572B3" w14:paraId="4159B196" w14:textId="26C04A44">
            <w:pPr>
              <w:pStyle w:val="ListParagraph"/>
              <w:numPr>
                <w:ilvl w:val="0"/>
                <w:numId w:val="12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 w:rsidRPr="003572B3">
              <w:rPr>
                <w:sz w:val="20"/>
                <w:szCs w:val="20"/>
              </w:rPr>
              <w:t>End of Y9 tests (Paper 1)</w:t>
            </w:r>
          </w:p>
          <w:p w:rsidR="007C1545" w:rsidP="003572B3" w:rsidRDefault="007C1545" w14:paraId="39EDD338" w14:textId="0096596A">
            <w:pPr>
              <w:pStyle w:val="ListParagraph"/>
              <w:numPr>
                <w:ilvl w:val="0"/>
                <w:numId w:val="12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from Autumn Term of Y10</w:t>
            </w:r>
          </w:p>
          <w:p w:rsidRPr="003572B3" w:rsidR="003572B3" w:rsidP="003572B3" w:rsidRDefault="003572B3" w14:paraId="10F67335" w14:textId="4D112B8B">
            <w:pPr>
              <w:pStyle w:val="ListParagraph"/>
              <w:numPr>
                <w:ilvl w:val="0"/>
                <w:numId w:val="12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 w:rsidRPr="61236470" w:rsidR="003572B3">
              <w:rPr>
                <w:sz w:val="20"/>
                <w:szCs w:val="20"/>
              </w:rPr>
              <w:t xml:space="preserve">Tests during Y11 (Paper 1 and Depth Study Paper 2) </w:t>
            </w:r>
            <w:r w:rsidRPr="61236470" w:rsidR="007C1545">
              <w:rPr>
                <w:sz w:val="20"/>
                <w:szCs w:val="20"/>
              </w:rPr>
              <w:t>– NB: these were done online</w:t>
            </w:r>
          </w:p>
          <w:p w:rsidRPr="0046317D" w:rsidR="0046317D" w:rsidP="61236470" w:rsidRDefault="0046317D" w14:paraId="17BD7DD3" w14:noSpellErr="1" w14:textId="4AAD2457">
            <w:pPr>
              <w:pStyle w:val="ListParagraph"/>
              <w:spacing w:after="30" w:line="360" w:lineRule="atLeast"/>
              <w:textAlignment w:val="baseline"/>
              <w:rPr>
                <w:i w:val="1"/>
                <w:iCs w:val="1"/>
                <w:sz w:val="20"/>
                <w:szCs w:val="20"/>
              </w:rPr>
            </w:pPr>
          </w:p>
        </w:tc>
      </w:tr>
      <w:tr w:rsidRPr="00975AA0" w:rsidR="00A413ED" w:rsidTr="20D2BC67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975AA0" w:rsidR="00A413ED" w:rsidTr="20D2BC67" w14:paraId="443D50AD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A413ED" w:rsidR="00A413ED" w:rsidP="00B832BB" w:rsidRDefault="00A413ED" w14:paraId="513B07AB" w14:textId="77777777">
            <w:pPr>
              <w:rPr>
                <w:sz w:val="24"/>
              </w:rPr>
            </w:pPr>
          </w:p>
          <w:p w:rsidRPr="00F83766" w:rsidR="00CB658E" w:rsidP="001B6654" w:rsidRDefault="001B6654" w14:paraId="60A20F99" w14:textId="2C873CF9">
            <w:pPr>
              <w:pStyle w:val="ListParagrap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</w:t>
            </w:r>
          </w:p>
        </w:tc>
      </w:tr>
    </w:tbl>
    <w:p w:rsidRPr="00A413ED" w:rsidR="00240B74" w:rsidRDefault="00240B74" w14:paraId="23DFA4D4" w14:textId="77777777">
      <w:pPr>
        <w:rPr>
          <w:sz w:val="24"/>
          <w:szCs w:val="20"/>
        </w:rPr>
      </w:pPr>
    </w:p>
    <w:sectPr w:rsidRPr="00A413ED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416C" w:rsidP="00A413ED" w:rsidRDefault="00BF416C" w14:paraId="76EE042A" w14:textId="77777777">
      <w:pPr>
        <w:spacing w:after="0" w:line="240" w:lineRule="auto"/>
      </w:pPr>
      <w:r>
        <w:separator/>
      </w:r>
    </w:p>
  </w:endnote>
  <w:endnote w:type="continuationSeparator" w:id="0">
    <w:p w:rsidR="00BF416C" w:rsidP="00A413ED" w:rsidRDefault="00BF416C" w14:paraId="6220DA2B" w14:textId="77777777">
      <w:pPr>
        <w:spacing w:after="0" w:line="240" w:lineRule="auto"/>
      </w:pPr>
      <w:r>
        <w:continuationSeparator/>
      </w:r>
    </w:p>
  </w:endnote>
  <w:endnote w:type="continuationNotice" w:id="1">
    <w:p w:rsidR="00BF416C" w:rsidRDefault="00BF416C" w14:paraId="4586556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416C" w:rsidP="00A413ED" w:rsidRDefault="00BF416C" w14:paraId="0E36044B" w14:textId="77777777">
      <w:pPr>
        <w:spacing w:after="0" w:line="240" w:lineRule="auto"/>
      </w:pPr>
      <w:r>
        <w:separator/>
      </w:r>
    </w:p>
  </w:footnote>
  <w:footnote w:type="continuationSeparator" w:id="0">
    <w:p w:rsidR="00BF416C" w:rsidP="00A413ED" w:rsidRDefault="00BF416C" w14:paraId="06B2550E" w14:textId="77777777">
      <w:pPr>
        <w:spacing w:after="0" w:line="240" w:lineRule="auto"/>
      </w:pPr>
      <w:r>
        <w:continuationSeparator/>
      </w:r>
    </w:p>
  </w:footnote>
  <w:footnote w:type="continuationNotice" w:id="1">
    <w:p w:rsidR="00BF416C" w:rsidRDefault="00BF416C" w14:paraId="768D8A9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20D2BC67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20D2BC67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20D2BC67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5266"/>
    <w:multiLevelType w:val="hybridMultilevel"/>
    <w:tmpl w:val="C6BCAA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E314F"/>
    <w:multiLevelType w:val="hybrid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880470E"/>
    <w:multiLevelType w:val="multilevel"/>
    <w:tmpl w:val="2E68DC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D24849"/>
    <w:multiLevelType w:val="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FB3EE2"/>
    <w:multiLevelType w:val="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5D5939"/>
    <w:multiLevelType w:val="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FF597A"/>
    <w:multiLevelType w:val="hybridMultilevel"/>
    <w:tmpl w:val="A9AEEC50"/>
    <w:lvl w:ilvl="0" w:tplc="08090001">
      <w:start w:val="1"/>
      <w:numFmt w:val="bullet"/>
      <w:lvlText w:val=""/>
      <w:lvlJc w:val="left"/>
      <w:pPr>
        <w:ind w:left="7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hint="default" w:ascii="Wingdings" w:hAnsi="Wingdings"/>
      </w:rPr>
    </w:lvl>
  </w:abstractNum>
  <w:abstractNum w:abstractNumId="7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4DC2895"/>
    <w:multiLevelType w:val="hybrid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51F279F"/>
    <w:multiLevelType w:val="hybrid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D7A28DC"/>
    <w:multiLevelType w:val="hybrid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CE11031"/>
    <w:multiLevelType w:val="hybridMultilevel"/>
    <w:tmpl w:val="97BA5D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6311E"/>
    <w:rsid w:val="0006489B"/>
    <w:rsid w:val="000733F0"/>
    <w:rsid w:val="00096476"/>
    <w:rsid w:val="000B31AF"/>
    <w:rsid w:val="000C05A7"/>
    <w:rsid w:val="000D4E66"/>
    <w:rsid w:val="000E341B"/>
    <w:rsid w:val="000E3870"/>
    <w:rsid w:val="000F3268"/>
    <w:rsid w:val="00127B2F"/>
    <w:rsid w:val="00184837"/>
    <w:rsid w:val="00193FDD"/>
    <w:rsid w:val="001A0567"/>
    <w:rsid w:val="001A0A5C"/>
    <w:rsid w:val="001B6654"/>
    <w:rsid w:val="00234CBC"/>
    <w:rsid w:val="00240B74"/>
    <w:rsid w:val="00243CD1"/>
    <w:rsid w:val="00270285"/>
    <w:rsid w:val="00283E94"/>
    <w:rsid w:val="002E1F56"/>
    <w:rsid w:val="002F0947"/>
    <w:rsid w:val="0030768A"/>
    <w:rsid w:val="003572B3"/>
    <w:rsid w:val="00392054"/>
    <w:rsid w:val="00402721"/>
    <w:rsid w:val="004263D2"/>
    <w:rsid w:val="0046317D"/>
    <w:rsid w:val="004A7ADC"/>
    <w:rsid w:val="004E70E7"/>
    <w:rsid w:val="00520B05"/>
    <w:rsid w:val="00562B12"/>
    <w:rsid w:val="005D3CFE"/>
    <w:rsid w:val="005E4EDA"/>
    <w:rsid w:val="0061567F"/>
    <w:rsid w:val="006473E9"/>
    <w:rsid w:val="006702C3"/>
    <w:rsid w:val="006D27F6"/>
    <w:rsid w:val="00795B53"/>
    <w:rsid w:val="007C1545"/>
    <w:rsid w:val="007F4D6F"/>
    <w:rsid w:val="00834AF2"/>
    <w:rsid w:val="00834EFE"/>
    <w:rsid w:val="008D245B"/>
    <w:rsid w:val="008E12EB"/>
    <w:rsid w:val="00971AA9"/>
    <w:rsid w:val="00975AA0"/>
    <w:rsid w:val="00980259"/>
    <w:rsid w:val="009B0544"/>
    <w:rsid w:val="009D5E62"/>
    <w:rsid w:val="009F489F"/>
    <w:rsid w:val="00A25068"/>
    <w:rsid w:val="00A413ED"/>
    <w:rsid w:val="00A45E92"/>
    <w:rsid w:val="00A70CEC"/>
    <w:rsid w:val="00AB5398"/>
    <w:rsid w:val="00AC2B48"/>
    <w:rsid w:val="00AD17AF"/>
    <w:rsid w:val="00AE1249"/>
    <w:rsid w:val="00B12CAE"/>
    <w:rsid w:val="00B326C4"/>
    <w:rsid w:val="00B764AC"/>
    <w:rsid w:val="00B832BB"/>
    <w:rsid w:val="00BB26EA"/>
    <w:rsid w:val="00BB4A33"/>
    <w:rsid w:val="00BF416C"/>
    <w:rsid w:val="00C71434"/>
    <w:rsid w:val="00CA2EA5"/>
    <w:rsid w:val="00CA4392"/>
    <w:rsid w:val="00CB5F7C"/>
    <w:rsid w:val="00CB658E"/>
    <w:rsid w:val="00D10BBE"/>
    <w:rsid w:val="00D1517E"/>
    <w:rsid w:val="00D26C77"/>
    <w:rsid w:val="00D5542B"/>
    <w:rsid w:val="00D555FE"/>
    <w:rsid w:val="00D623A6"/>
    <w:rsid w:val="00D86B55"/>
    <w:rsid w:val="00DE7369"/>
    <w:rsid w:val="00E10716"/>
    <w:rsid w:val="00E41B15"/>
    <w:rsid w:val="00E635EB"/>
    <w:rsid w:val="00F034FB"/>
    <w:rsid w:val="00F66A00"/>
    <w:rsid w:val="00F81A28"/>
    <w:rsid w:val="00F83766"/>
    <w:rsid w:val="00FF2524"/>
    <w:rsid w:val="127228D3"/>
    <w:rsid w:val="20D2BC67"/>
    <w:rsid w:val="4130DF48"/>
    <w:rsid w:val="6123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220FC-C347-4956-8D12-36F2C80CA07D}"/>
</file>

<file path=customXml/itemProps3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Dalia Abubakr</dc:creator>
  <keywords/>
  <dc:description/>
  <lastModifiedBy>Matt Dunston MDU</lastModifiedBy>
  <revision>20</revision>
  <dcterms:created xsi:type="dcterms:W3CDTF">2021-03-04T11:23:00.0000000Z</dcterms:created>
  <dcterms:modified xsi:type="dcterms:W3CDTF">2021-03-27T10:18:43.6425630Z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